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 for Western Regional Panel Meeting</w:t>
        <w:br w:type="textWrapping"/>
        <w:t xml:space="preserve">Wednesday, July 30th 2025 1:00 pm - 3:00 pm</w:t>
      </w:r>
      <w:r w:rsidDel="00000000" w:rsidR="00000000" w:rsidRPr="00000000">
        <w:rPr>
          <w:rtl w:val="0"/>
        </w:rPr>
      </w:r>
    </w:p>
    <w:tbl>
      <w:tblPr>
        <w:tblStyle w:val="Table1"/>
        <w:tblW w:w="14535.0" w:type="dxa"/>
        <w:jc w:val="left"/>
        <w:tblInd w:w="-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"/>
        <w:gridCol w:w="5880"/>
        <w:gridCol w:w="4845"/>
        <w:tblGridChange w:id="0">
          <w:tblGrid>
            <w:gridCol w:w="3810"/>
            <w:gridCol w:w="5880"/>
            <w:gridCol w:w="484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93d07c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Agenda Item</w:t>
            </w:r>
          </w:p>
        </w:tc>
        <w:tc>
          <w:tcPr>
            <w:shd w:fill="93d07c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 (Decisions, Future Action, Highlights)</w:t>
            </w:r>
          </w:p>
        </w:tc>
        <w:tc>
          <w:tcPr>
            <w:shd w:fill="93d07c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Decisions and Next Steps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Attendees</w:t>
            </w:r>
          </w:p>
        </w:tc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Todd Sage (Co-Chair), John Treahy (Co-Chair), Linda Brown, Ellen Kennedy, Tamaé Memole (PCA-NY), Elizabeth Stephenson (PCA-NY)</w:t>
            </w:r>
          </w:p>
        </w:tc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Joint Meeting Debrief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Next steps: anonymous reporting bill, quarterly meetings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7"/>
              </w:numPr>
              <w:spacing w:line="276" w:lineRule="auto"/>
              <w:ind w:left="45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The panel agreed to meet quarterly with the commissioner and is open to an in person meeting.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ind w:left="450" w:hanging="360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PCA-NY is working with OCFS to schedule the next meeting with the Commissioner.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27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Elizabeth will send feedback on HEARS data to OCFS in combination with feedback from other panels.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27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Tamaé will follow up with OCFS about data related to funds dedicated to concrete supports (made available to family resource centers).</w:t>
            </w:r>
          </w:p>
          <w:p w:rsidR="00000000" w:rsidDel="00000000" w:rsidP="00000000" w:rsidRDefault="00000000" w:rsidRPr="00000000" w14:paraId="0000000F">
            <w:pPr>
              <w:ind w:left="27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.849609375" w:hRule="atLeast"/>
          <w:tblHeader w:val="0"/>
        </w:trPr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Preparation of a Letter to the Governor</w:t>
              <w:br w:type="textWrapping"/>
            </w:r>
            <w:r w:rsidDel="00000000" w:rsidR="00000000" w:rsidRPr="00000000">
              <w:rPr>
                <w:color w:val="222222"/>
                <w:rtl w:val="0"/>
              </w:rPr>
              <w:t xml:space="preserve">In support of signing the Anonymous Reporting Legislation</w:t>
            </w:r>
          </w:p>
        </w:tc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45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letter was sent out Tuesday, July 29th. </w:t>
            </w:r>
          </w:p>
          <w:p w:rsidR="00000000" w:rsidDel="00000000" w:rsidP="00000000" w:rsidRDefault="00000000" w:rsidRPr="00000000" w14:paraId="00000012">
            <w:pPr>
              <w:ind w:left="45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panel will identify any media outlets to which they may want to send the letter.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suggestion was made to share the letter with the service provider community and The Buffalo News.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45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John will reach out to a contact about publishing the letter with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COFCCA.</w:t>
            </w:r>
          </w:p>
        </w:tc>
      </w:tr>
      <w:tr>
        <w:trPr>
          <w:cantSplit w:val="0"/>
          <w:trHeight w:val="2408.7890625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Process for Organizing Recommendations for the Upcoming Year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45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chairs agreed to meet after the next joint meeting with OCFS to draft initial recommendations, which will be shared with panel members for feedback. Co-chairs will then reconvene to finalize them.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45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Strategies to Advance Panel Recommendations: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ind w:left="63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Look to set up meeting with the OCFS parent advisory group. 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63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 recommendations to collaborate with other state agencies to better utilize state funds to target families in need.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63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Possible press release to make recommendations more public.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63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Meet with legislators to  follow up about the report. 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76" w:lineRule="auto"/>
              <w:ind w:left="450" w:hanging="360"/>
              <w:rPr>
                <w:color w:val="222222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Elizabeth will resend the list of follow-up questions developed by the Eastern Panel to the Commissioner.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76" w:lineRule="auto"/>
              <w:ind w:left="450" w:hanging="360"/>
              <w:rPr>
                <w:color w:val="222222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Members will review and provide feedback or suggestions.</w:t>
            </w:r>
          </w:p>
          <w:p w:rsidR="00000000" w:rsidDel="00000000" w:rsidP="00000000" w:rsidRDefault="00000000" w:rsidRPr="00000000" w14:paraId="00000020">
            <w:pPr>
              <w:ind w:left="72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Nominations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Candidates, status update and nomination process</w:t>
            </w:r>
          </w:p>
        </w:tc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PCA-NY is working on solidifying a nomination process for candidates and will forward candidate info to the panel for their awareness moving forward.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panel agreed that nominees should meet with Chairs during the nomination process so they can provide insight into the role.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The panel suggests submitting a letter of support to the chosen elected’s offices endorsing the nominees.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fd3" w:val="clear"/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after="0" w:afterAutospacing="0" w:before="240" w:line="276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PCA-NY to send nomination tracker to panels and provide periodic updates.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8"/>
              </w:numPr>
              <w:spacing w:after="0" w:afterAutospacing="0" w:before="0" w:beforeAutospacing="0" w:line="276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There is one pending candidate to be followed up with.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after="240" w:before="0" w:beforeAutospacing="0" w:line="276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John to confirm if a previous candidate is still interested and connect them with Elizabeth if so.</w:t>
            </w:r>
          </w:p>
        </w:tc>
      </w:tr>
      <w:tr>
        <w:trPr>
          <w:cantSplit w:val="0"/>
          <w:trHeight w:val="201.97265624999997" w:hRule="atLeast"/>
          <w:tblHeader w:val="0"/>
        </w:trPr>
        <w:tc>
          <w:tcPr>
            <w:shd w:fill="3e762a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e762a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e762a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Next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TBA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ind w:left="45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Elizabeth will send out a poll in August to schedule a meeting in November.</w:t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13" w:top="138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</w:t>
      <w:tab/>
      <w:tab/>
      <w:t xml:space="preserve"> </w:t>
      <w:tab/>
      <w:t xml:space="preserve"> </w:t>
    </w:r>
    <w:r w:rsidDel="00000000" w:rsidR="00000000" w:rsidRPr="00000000">
      <w:rPr>
        <w:sz w:val="22"/>
        <w:szCs w:val="22"/>
      </w:rPr>
      <w:drawing>
        <wp:inline distB="0" distT="0" distL="0" distR="0">
          <wp:extent cx="1629296" cy="590550"/>
          <wp:effectExtent b="0" l="0" r="0" t="0"/>
          <wp:docPr id="193837310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9296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-57149</wp:posOffset>
          </wp:positionH>
          <wp:positionV relativeFrom="paragraph">
            <wp:posOffset>-19049</wp:posOffset>
          </wp:positionV>
          <wp:extent cx="2539835" cy="601980"/>
          <wp:effectExtent b="0" l="0" r="0" t="0"/>
          <wp:wrapNone/>
          <wp:docPr id="19383731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9835" cy="6019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center" w:leader="none" w:pos="4680"/>
        <w:tab w:val="right" w:leader="none" w:pos="9360"/>
      </w:tabs>
      <w:spacing w:line="24.000000000000004" w:lineRule="auto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63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53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1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e762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e762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e762a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e762a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e762a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E465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E465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E465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E465D"/>
    <w:rPr>
      <w:rFonts w:asciiTheme="majorHAnsi" w:cstheme="majorBidi" w:eastAsiaTheme="majorEastAsia" w:hAnsiTheme="majorHAnsi"/>
      <w:color w:val="3e762a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E465D"/>
    <w:rPr>
      <w:rFonts w:asciiTheme="majorHAnsi" w:cstheme="majorBidi" w:eastAsiaTheme="majorEastAsia" w:hAnsiTheme="majorHAnsi"/>
      <w:color w:val="3e762a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E465D"/>
    <w:rPr>
      <w:rFonts w:cstheme="majorBidi" w:eastAsiaTheme="majorEastAsia"/>
      <w:color w:val="3e762a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E465D"/>
    <w:rPr>
      <w:rFonts w:cstheme="majorBidi" w:eastAsiaTheme="majorEastAsia"/>
      <w:i w:val="1"/>
      <w:iCs w:val="1"/>
      <w:color w:val="3e762a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E465D"/>
    <w:rPr>
      <w:rFonts w:cstheme="majorBidi" w:eastAsiaTheme="majorEastAsia"/>
      <w:color w:val="3e762a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E465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E465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E465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E465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E465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E465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E465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E465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E465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E465D"/>
    <w:rPr>
      <w:i w:val="1"/>
      <w:iCs w:val="1"/>
      <w:color w:val="3e762a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E465D"/>
    <w:pPr>
      <w:pBdr>
        <w:top w:color="3e762a" w:space="10" w:sz="4" w:themeColor="accent1" w:themeShade="0000BF" w:val="single"/>
        <w:bottom w:color="3e762a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e762a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465D"/>
    <w:rPr>
      <w:i w:val="1"/>
      <w:iCs w:val="1"/>
      <w:color w:val="3e762a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E465D"/>
    <w:rPr>
      <w:b w:val="1"/>
      <w:bCs w:val="1"/>
      <w:smallCaps w:val="1"/>
      <w:color w:val="3e762a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EE46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65D"/>
  </w:style>
  <w:style w:type="paragraph" w:styleId="Footer">
    <w:name w:val="footer"/>
    <w:basedOn w:val="Normal"/>
    <w:link w:val="FooterChar"/>
    <w:uiPriority w:val="99"/>
    <w:unhideWhenUsed w:val="1"/>
    <w:rsid w:val="00EE46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65D"/>
  </w:style>
  <w:style w:type="table" w:styleId="TableGrid">
    <w:name w:val="Table Grid"/>
    <w:basedOn w:val="TableNormal"/>
    <w:uiPriority w:val="39"/>
    <w:rsid w:val="004976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D7AA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7AA6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Madis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6nIIloET2QJLtT+0XvtjSCIVQ==">CgMxLjA4AHIhMVhqdXdTU1ZoaDY4dmxlUWktMWItVjBjRFItRm9PcVdI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2025-04-11T17:09:00Z</dcterms:created>
  <dc:creator>Tamae Memole</dc:creator>
</cp:coreProperties>
</file>