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2539365" cy="601869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6018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7639050</wp:posOffset>
            </wp:positionH>
            <wp:positionV relativeFrom="paragraph">
              <wp:posOffset>114300</wp:posOffset>
            </wp:positionV>
            <wp:extent cx="1243013" cy="54838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548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April 23, 2025, 1:00 </w:t>
      </w:r>
      <w:r w:rsidDel="00000000" w:rsidR="00000000" w:rsidRPr="00000000">
        <w:rPr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Eastern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Regional Panel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single"/>
          <w:shd w:fill="auto" w:val="clear"/>
          <w:vertAlign w:val="baseline"/>
          <w:rtl w:val="0"/>
        </w:rPr>
        <w:t xml:space="preserve">https://us02web.zoom.us/j/81694813148?pwd=s0pVExxlT9yUuZFoAFHGLBwtzbvaPB.1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59.9072265625" w:line="240" w:lineRule="auto"/>
        <w:jc w:val="center"/>
        <w:rPr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0" w:tblpY="0"/>
        <w:tblW w:w="14205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720"/>
        <w:gridCol w:w="4260"/>
        <w:tblGridChange w:id="0">
          <w:tblGrid>
            <w:gridCol w:w="3225"/>
            <w:gridCol w:w="6720"/>
            <w:gridCol w:w="4260"/>
          </w:tblGrid>
        </w:tblGridChange>
      </w:tblGrid>
      <w:tr>
        <w:trPr>
          <w:cantSplit w:val="0"/>
          <w:trHeight w:val="657.59948730468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Agenda Item 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34.38884735107422" w:lineRule="auto"/>
              <w:ind w:left="178.6456298828125" w:right="70.115966796875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Discussion (Decisions, Future  Action, Highlights) 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Decisions and Next Steps</w:t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Attendees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9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Kathy Halas - co-chair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9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Mary McCarthy - co-chair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9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Sharon Chesna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9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Tama</w:t>
            </w:r>
            <w:r w:rsidDel="00000000" w:rsidR="00000000" w:rsidRPr="00000000">
              <w:rPr>
                <w:color w:val="1f1f1f"/>
                <w:rtl w:val="0"/>
              </w:rPr>
              <w:t xml:space="preserve">é</w:t>
            </w:r>
            <w:r w:rsidDel="00000000" w:rsidR="00000000" w:rsidRPr="00000000">
              <w:rPr>
                <w:rtl w:val="0"/>
              </w:rPr>
              <w:t xml:space="preserve"> Memole, Managing Director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9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Elizabeth Stephenson, Facilitation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800292968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Introductions 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8"/>
              </w:numPr>
              <w:spacing w:line="230.94165802001953" w:lineRule="auto"/>
              <w:ind w:left="360" w:right="288.175048828125"/>
            </w:pPr>
            <w:r w:rsidDel="00000000" w:rsidR="00000000" w:rsidRPr="00000000">
              <w:rPr>
                <w:rtl w:val="0"/>
              </w:rPr>
              <w:t xml:space="preserve">Brief introduction of PCA-NY  staff/roles and panel members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Commissioner meeting update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0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PCA-NY asked to postpone meeting with the Commissioner until relationships were established between CRP and PCA-NY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0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PCANY is aiming for a Joint panel meeting for May or June, and would like to submit questions prepared for commissioner before meeting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0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A list of questions was previously prepared  for commissioner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7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PCA-NY will communicate with CRP co-chairs to collect dates and formalize 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Nominations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1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Someone was denied by Executive Chamber (NYC nominee), but reason is unknown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Meeting Calendar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spacing w:line="230.94191551208496" w:lineRule="auto"/>
              <w:ind w:left="360" w:right="217.789306640625"/>
            </w:pPr>
            <w:r w:rsidDel="00000000" w:rsidR="00000000" w:rsidRPr="00000000">
              <w:rPr>
                <w:rtl w:val="0"/>
              </w:rPr>
              <w:t xml:space="preserve">May/June – Joint (*dependent  upon schedule of OCFS  Commissioner)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230.94191551208496" w:lineRule="auto"/>
              <w:ind w:left="360" w:right="217.789306640625"/>
            </w:pPr>
            <w:r w:rsidDel="00000000" w:rsidR="00000000" w:rsidRPr="00000000">
              <w:rPr>
                <w:rtl w:val="0"/>
              </w:rPr>
              <w:t xml:space="preserve">October - Joint in preparation for the annual report</w:t>
              <w:br w:type="textWrapping"/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3 regional panel meetings (July and September) 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PCA-NY to follow up with co-chairs about the next regional meeting date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rPr>
          <w:b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90" w:tblpY="0"/>
        <w:tblW w:w="1422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6750"/>
        <w:gridCol w:w="4215"/>
        <w:tblGridChange w:id="0">
          <w:tblGrid>
            <w:gridCol w:w="3255"/>
            <w:gridCol w:w="6750"/>
            <w:gridCol w:w="4215"/>
          </w:tblGrid>
        </w:tblGridChange>
      </w:tblGrid>
      <w:tr>
        <w:trPr>
          <w:cantSplit w:val="0"/>
          <w:trHeight w:val="166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Priorities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Anonymous Reporting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Providing Assemblymember Hevesi with informed information about anonymous reporting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ind w:left="36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5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PCA-NY can share with Panel Members the educational information that we using in our separate efforts</w:t>
            </w:r>
          </w:p>
        </w:tc>
      </w:tr>
      <w:tr>
        <w:trPr>
          <w:cantSplit w:val="0"/>
          <w:trHeight w:val="21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Voting Process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Majority of CRP members voted in support of the </w:t>
            </w:r>
            <w:r w:rsidDel="00000000" w:rsidR="00000000" w:rsidRPr="00000000">
              <w:rPr>
                <w:rFonts w:ascii="Roboto" w:cs="Roboto" w:eastAsia="Roboto" w:hAnsi="Roboto"/>
                <w:color w:val="1f1f1f"/>
                <w:rtl w:val="0"/>
              </w:rPr>
              <w:t xml:space="preserve">Solutions Not Suspensions NY Org Sign On Letter.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6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Panel members agreed to a process for sign-on letters: PCA-NY will track members votes; communicate outcome to all members and communicate with the organization lead for that letter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Raised Suggestions and Concerns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Zoom Meeting Registration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Approach to OCFS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Confidentiality agreements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Requesting subject knowledge experts about smaller chunks of data or preliminary data, if recent Statewide is not available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PCA-NY document pending: Participation/attendance and confidentiality agreements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2"/>
              </w:numPr>
              <w:ind w:left="360"/>
            </w:pPr>
            <w:r w:rsidDel="00000000" w:rsidR="00000000" w:rsidRPr="00000000">
              <w:rPr>
                <w:rtl w:val="0"/>
              </w:rPr>
              <w:t xml:space="preserve">It was agreed that Zoom registration requirement will be okay for future meetings to help keep track of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Next Meeting 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